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83" w:rsidRPr="0089100F" w:rsidRDefault="00C95683" w:rsidP="00C95683">
      <w:pPr>
        <w:spacing w:after="120" w:line="330" w:lineRule="atLeast"/>
        <w:jc w:val="both"/>
        <w:rPr>
          <w:rFonts w:ascii="Open Sans" w:hAnsi="Open Sans"/>
          <w:b/>
          <w:bCs/>
          <w:color w:val="333333"/>
          <w:sz w:val="48"/>
          <w:szCs w:val="48"/>
          <w:lang w:val="en-US"/>
        </w:rPr>
      </w:pPr>
      <w:proofErr w:type="spellStart"/>
      <w:r>
        <w:rPr>
          <w:rFonts w:ascii="Open Sans" w:hAnsi="Open Sans"/>
          <w:b/>
          <w:bCs/>
          <w:color w:val="333333"/>
          <w:sz w:val="48"/>
          <w:szCs w:val="48"/>
          <w:lang w:val="en-US"/>
        </w:rPr>
        <w:t>Assicurazione</w:t>
      </w:r>
      <w:proofErr w:type="spellEnd"/>
      <w:r>
        <w:rPr>
          <w:rFonts w:ascii="Open Sans" w:hAnsi="Open Sans"/>
          <w:b/>
          <w:bCs/>
          <w:color w:val="333333"/>
          <w:sz w:val="48"/>
          <w:szCs w:val="48"/>
          <w:lang w:val="en-US"/>
        </w:rPr>
        <w:t xml:space="preserve"> </w:t>
      </w:r>
      <w:proofErr w:type="spellStart"/>
      <w:r>
        <w:rPr>
          <w:rFonts w:ascii="Open Sans" w:hAnsi="Open Sans"/>
          <w:b/>
          <w:bCs/>
          <w:color w:val="333333"/>
          <w:sz w:val="48"/>
          <w:szCs w:val="48"/>
          <w:lang w:val="en-US"/>
        </w:rPr>
        <w:t>clienti</w:t>
      </w:r>
      <w:proofErr w:type="spellEnd"/>
      <w:r>
        <w:rPr>
          <w:rFonts w:ascii="Open Sans" w:hAnsi="Open Sans"/>
          <w:b/>
          <w:bCs/>
          <w:color w:val="333333"/>
          <w:sz w:val="48"/>
          <w:szCs w:val="48"/>
          <w:lang w:val="en-US"/>
        </w:rPr>
        <w:t xml:space="preserve"> </w:t>
      </w:r>
      <w:proofErr w:type="spellStart"/>
      <w:r>
        <w:rPr>
          <w:rFonts w:ascii="Open Sans" w:hAnsi="Open Sans"/>
          <w:b/>
          <w:bCs/>
          <w:color w:val="333333"/>
          <w:sz w:val="48"/>
          <w:szCs w:val="48"/>
          <w:lang w:val="en-US"/>
        </w:rPr>
        <w:t>finali</w:t>
      </w:r>
      <w:proofErr w:type="spellEnd"/>
      <w:r>
        <w:rPr>
          <w:rFonts w:ascii="Open Sans" w:hAnsi="Open Sans"/>
          <w:b/>
          <w:bCs/>
          <w:color w:val="333333"/>
          <w:sz w:val="48"/>
          <w:szCs w:val="48"/>
          <w:lang w:val="en-US"/>
        </w:rPr>
        <w:t xml:space="preserve"> </w:t>
      </w:r>
      <w:proofErr w:type="spellStart"/>
      <w:r>
        <w:rPr>
          <w:rFonts w:ascii="Open Sans" w:hAnsi="Open Sans"/>
          <w:b/>
          <w:bCs/>
          <w:color w:val="333333"/>
          <w:sz w:val="48"/>
          <w:szCs w:val="48"/>
          <w:lang w:val="en-US"/>
        </w:rPr>
        <w:t>civili</w:t>
      </w:r>
      <w:proofErr w:type="spellEnd"/>
      <w:r>
        <w:rPr>
          <w:rFonts w:ascii="Open Sans" w:hAnsi="Open Sans"/>
          <w:b/>
          <w:bCs/>
          <w:color w:val="333333"/>
          <w:sz w:val="48"/>
          <w:szCs w:val="48"/>
          <w:lang w:val="en-US"/>
        </w:rPr>
        <w:t xml:space="preserve"> </w:t>
      </w:r>
      <w:proofErr w:type="gramStart"/>
      <w:r>
        <w:rPr>
          <w:rFonts w:ascii="Open Sans" w:hAnsi="Open Sans"/>
          <w:b/>
          <w:bCs/>
          <w:color w:val="333333"/>
          <w:sz w:val="48"/>
          <w:szCs w:val="48"/>
          <w:lang w:val="en-US"/>
        </w:rPr>
        <w:t>del</w:t>
      </w:r>
      <w:proofErr w:type="gramEnd"/>
      <w:r>
        <w:rPr>
          <w:rFonts w:ascii="Open Sans" w:hAnsi="Open Sans"/>
          <w:b/>
          <w:bCs/>
          <w:color w:val="333333"/>
          <w:sz w:val="48"/>
          <w:szCs w:val="48"/>
          <w:lang w:val="en-US"/>
        </w:rPr>
        <w:t xml:space="preserve"> gas</w:t>
      </w:r>
    </w:p>
    <w:p w:rsidR="00C95683" w:rsidRDefault="00C95683" w:rsidP="00C95683">
      <w:pPr>
        <w:spacing w:after="270" w:line="120" w:lineRule="atLeast"/>
        <w:jc w:val="both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Chiunque usi, anche occasionalmente, gas metano o altro tipo di gas fornito tramite reti di distribuzione urbana o reti di trasporto, beneficia in via automatica di una copertura assicurativa contro gli incidenti da gas, ai sensi della deliberazione 191/2013/R/gas dell’Autorità per l’energia elettrica il gas ed il sistema idrico (AEEGSI).</w:t>
      </w:r>
    </w:p>
    <w:p w:rsidR="00C95683" w:rsidRPr="000C3C51" w:rsidRDefault="00C95683" w:rsidP="00C95683">
      <w:pPr>
        <w:spacing w:after="270" w:line="120" w:lineRule="atLeast"/>
        <w:jc w:val="both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La copertura assicurativa è valida su tutto il territorio nazionale; da essa sono esclusi:</w:t>
      </w:r>
    </w:p>
    <w:p w:rsidR="00C95683" w:rsidRPr="000C3C51" w:rsidRDefault="00C95683" w:rsidP="00C95683">
      <w:pPr>
        <w:numPr>
          <w:ilvl w:val="0"/>
          <w:numId w:val="1"/>
        </w:numPr>
        <w:spacing w:before="100" w:beforeAutospacing="1" w:after="75" w:line="120" w:lineRule="atLeast"/>
        <w:ind w:left="495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 </w:t>
      </w:r>
      <w:proofErr w:type="gramStart"/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i</w:t>
      </w:r>
      <w:proofErr w:type="gramEnd"/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 xml:space="preserve"> clienti finali di gas metano diversi dai clienti domestici o condominiali domestici e dai soggetti che svolgono attività di servizio pubblico, caratterizzati da un consumo annuo superiore a 200.000 metri cubi alle condizioni standard;</w:t>
      </w:r>
    </w:p>
    <w:p w:rsidR="00C95683" w:rsidRPr="000C3C51" w:rsidRDefault="00C95683" w:rsidP="00C95683">
      <w:pPr>
        <w:numPr>
          <w:ilvl w:val="0"/>
          <w:numId w:val="1"/>
        </w:numPr>
        <w:spacing w:before="100" w:beforeAutospacing="1" w:after="75" w:line="120" w:lineRule="atLeast"/>
        <w:ind w:left="495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 </w:t>
      </w:r>
      <w:proofErr w:type="gramStart"/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i</w:t>
      </w:r>
      <w:proofErr w:type="gramEnd"/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 xml:space="preserve"> consumatori di gas metano per autotrazione.</w:t>
      </w:r>
    </w:p>
    <w:p w:rsidR="00C95683" w:rsidRPr="000C3C51" w:rsidRDefault="00C95683" w:rsidP="00C95683">
      <w:pPr>
        <w:spacing w:after="270" w:line="120" w:lineRule="atLeast"/>
        <w:jc w:val="both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Le garanzie prestate riguardano: la responsabilità civile nei confronti di terzi, gli incendi e gli infortuni, che abbiano origine negli impianti e negli apparecchi a valle del punto di consegna del gas (a valle del contatore). L’assicurazione è stipulata dal CIG (Comitato Italiano Gas) per conto dei clienti finali.</w:t>
      </w:r>
    </w:p>
    <w:p w:rsidR="00C95683" w:rsidRPr="000C3C51" w:rsidRDefault="00C95683" w:rsidP="00C95683">
      <w:pPr>
        <w:spacing w:after="270" w:line="120" w:lineRule="atLeast"/>
        <w:jc w:val="both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 xml:space="preserve">Per ulteriori dettagli in merito alla copertura assicurativa e alla modulistica da utilizzare per la denuncia di un eventuale sinistro si può contattare lo </w:t>
      </w:r>
      <w:r w:rsidRPr="000C3C51">
        <w:rPr>
          <w:rFonts w:ascii="asco-regular" w:eastAsia="Times New Roman" w:hAnsi="asco-regular" w:cs="Arial"/>
          <w:b/>
          <w:bCs/>
          <w:color w:val="2C373E"/>
          <w:sz w:val="24"/>
          <w:szCs w:val="24"/>
          <w:lang w:eastAsia="it-IT"/>
        </w:rPr>
        <w:t xml:space="preserve">Sportello per il consumatore di energia al numero verde </w:t>
      </w:r>
      <w:r w:rsidRPr="000C3C51">
        <w:rPr>
          <w:rFonts w:ascii="asco-regular" w:eastAsia="Times New Roman" w:hAnsi="asco-regular" w:cs="Arial"/>
          <w:b/>
          <w:bCs/>
          <w:color w:val="008000"/>
          <w:sz w:val="24"/>
          <w:szCs w:val="24"/>
          <w:lang w:eastAsia="it-IT"/>
        </w:rPr>
        <w:t>800.166.654</w:t>
      </w: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 xml:space="preserve"> o con le modalità indicate nel sito internet </w:t>
      </w:r>
      <w:hyperlink r:id="rId5" w:tgtFrame="_blank" w:history="1">
        <w:r w:rsidRPr="000C3C51">
          <w:rPr>
            <w:rFonts w:ascii="asco-bold" w:eastAsia="Times New Roman" w:hAnsi="asco-bold" w:cs="Arial"/>
            <w:color w:val="0077C1"/>
            <w:sz w:val="24"/>
            <w:szCs w:val="24"/>
            <w:u w:val="single"/>
            <w:lang w:eastAsia="it-IT"/>
          </w:rPr>
          <w:t>www.autorita.energia.it</w:t>
        </w:r>
      </w:hyperlink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.</w:t>
      </w:r>
    </w:p>
    <w:p w:rsidR="00C95683" w:rsidRPr="000C3C51" w:rsidRDefault="00C95683" w:rsidP="00C95683">
      <w:pPr>
        <w:spacing w:after="270" w:line="120" w:lineRule="atLeast"/>
        <w:jc w:val="both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 xml:space="preserve">Per assistenza sulla compilazione del modulo di denuncia di sinistro (MDS), per ricevere informazioni sullo stato di una pratica assicurativa aperta a seguito di una precedente denuncia di sinistro o per l’inoltro di reclami sull’andamento dell’iter di liquidazione dei danni è attivo il </w:t>
      </w:r>
      <w:r w:rsidRPr="000C3C51">
        <w:rPr>
          <w:rFonts w:ascii="asco-regular" w:eastAsia="Times New Roman" w:hAnsi="asco-regular" w:cs="Arial"/>
          <w:b/>
          <w:bCs/>
          <w:color w:val="2C373E"/>
          <w:sz w:val="24"/>
          <w:szCs w:val="24"/>
          <w:lang w:eastAsia="it-IT"/>
        </w:rPr>
        <w:t xml:space="preserve">Numero Verde CIG </w:t>
      </w:r>
      <w:r w:rsidRPr="000C3C51">
        <w:rPr>
          <w:rFonts w:ascii="asco-regular" w:eastAsia="Times New Roman" w:hAnsi="asco-regular" w:cs="Arial"/>
          <w:b/>
          <w:bCs/>
          <w:color w:val="008000"/>
          <w:sz w:val="24"/>
          <w:szCs w:val="24"/>
          <w:lang w:eastAsia="it-IT"/>
        </w:rPr>
        <w:t>800.92 92 86</w:t>
      </w: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.</w:t>
      </w:r>
    </w:p>
    <w:p w:rsidR="00C95683" w:rsidRPr="000C3C51" w:rsidRDefault="00C95683" w:rsidP="00C95683">
      <w:pPr>
        <w:spacing w:after="270" w:line="120" w:lineRule="atLeast"/>
        <w:jc w:val="both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 xml:space="preserve">Il numero verde CIG è attivo </w:t>
      </w:r>
      <w:r w:rsidRPr="000C3C51">
        <w:rPr>
          <w:rFonts w:ascii="asco-regular" w:eastAsia="Times New Roman" w:hAnsi="asco-regular" w:cs="Arial"/>
          <w:b/>
          <w:bCs/>
          <w:color w:val="2C373E"/>
          <w:sz w:val="24"/>
          <w:szCs w:val="24"/>
          <w:lang w:eastAsia="it-IT"/>
        </w:rPr>
        <w:t>dal Lunedì al Venerdì dalle ore 9,00 alle 12,00 e dalle ore 14,00 alle 16,00</w:t>
      </w: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.</w:t>
      </w:r>
    </w:p>
    <w:p w:rsidR="00C95683" w:rsidRPr="000C3C51" w:rsidRDefault="00C95683" w:rsidP="00C95683">
      <w:pPr>
        <w:spacing w:after="270" w:line="120" w:lineRule="atLeast"/>
        <w:jc w:val="both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Il servizio viene sospeso in alcuni periodi dell’anno, generalmente coincidenti con periodi di festività o vacanza.</w:t>
      </w:r>
    </w:p>
    <w:p w:rsidR="00C95683" w:rsidRPr="000C3C51" w:rsidRDefault="00C95683" w:rsidP="00C95683">
      <w:pPr>
        <w:spacing w:after="270" w:line="120" w:lineRule="atLeast"/>
        <w:jc w:val="both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 xml:space="preserve">Le richieste di assistenza per la compilazione del Modulo di denuncia di sinistro o di informazioni sullo stato delle pratiche aperte possono essere inviate anche a mezzo di posta elettronica all’indirizzo assigas@cig.it o via fax al numero </w:t>
      </w:r>
      <w:r w:rsidRPr="000C3C51">
        <w:rPr>
          <w:rFonts w:ascii="asco-regular" w:eastAsia="Times New Roman" w:hAnsi="asco-regular" w:cs="Arial"/>
          <w:b/>
          <w:bCs/>
          <w:color w:val="2C373E"/>
          <w:sz w:val="24"/>
          <w:szCs w:val="24"/>
          <w:lang w:eastAsia="it-IT"/>
        </w:rPr>
        <w:t>02.72001646</w:t>
      </w: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.</w:t>
      </w:r>
    </w:p>
    <w:p w:rsidR="00C95683" w:rsidRDefault="00C95683" w:rsidP="00C95683">
      <w:pPr>
        <w:spacing w:after="270" w:line="120" w:lineRule="atLeast"/>
        <w:jc w:val="both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  <w:t>Aggiornamento al 01-01-2014</w:t>
      </w:r>
    </w:p>
    <w:p w:rsidR="00C95683" w:rsidRPr="000C3C51" w:rsidRDefault="00C95683" w:rsidP="00C95683">
      <w:pPr>
        <w:spacing w:after="270" w:line="120" w:lineRule="atLeast"/>
        <w:jc w:val="both"/>
        <w:rPr>
          <w:rFonts w:ascii="asco-regular" w:eastAsia="Times New Roman" w:hAnsi="asco-regular" w:cs="Arial"/>
          <w:color w:val="2C373E"/>
          <w:sz w:val="24"/>
          <w:szCs w:val="24"/>
          <w:lang w:eastAsia="it-IT"/>
        </w:rPr>
      </w:pPr>
      <w:r w:rsidRPr="000C3C51">
        <w:rPr>
          <w:rFonts w:ascii="asco-regular" w:eastAsia="Times New Roman" w:hAnsi="asco-regular" w:cs="Arial"/>
          <w:b/>
          <w:bCs/>
          <w:color w:val="2C373E"/>
          <w:sz w:val="24"/>
          <w:szCs w:val="24"/>
          <w:lang w:eastAsia="it-IT"/>
        </w:rPr>
        <w:t>Allegati:</w:t>
      </w:r>
    </w:p>
    <w:p w:rsidR="00C95683" w:rsidRPr="007B5211" w:rsidRDefault="00C95683" w:rsidP="00C95683">
      <w:pPr>
        <w:spacing w:after="270" w:line="120" w:lineRule="atLeast"/>
        <w:jc w:val="both"/>
        <w:rPr>
          <w:rStyle w:val="Collegamentoipertestuale"/>
          <w:rFonts w:ascii="asco-regular" w:eastAsia="Times New Roman" w:hAnsi="asco-regular" w:cs="Arial"/>
          <w:b/>
          <w:sz w:val="24"/>
          <w:szCs w:val="24"/>
          <w:lang w:eastAsia="it-IT"/>
        </w:rPr>
      </w:pP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begin"/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instrText xml:space="preserve"> HYPERLINK "http://www.autorita.energia.it/it/docs/13/191-13.htm" \t "_blank" </w:instrText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separate"/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>Testo integ</w:t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>r</w:t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>ale della del</w:t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>i</w:t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>bera</w:t>
      </w:r>
    </w:p>
    <w:p w:rsidR="00C95683" w:rsidRPr="007B5211" w:rsidRDefault="00C95683" w:rsidP="00C95683">
      <w:pPr>
        <w:spacing w:after="270" w:line="120" w:lineRule="atLeast"/>
        <w:jc w:val="both"/>
        <w:rPr>
          <w:rStyle w:val="Collegamentoipertestuale"/>
          <w:rFonts w:ascii="asco-regular" w:eastAsia="Times New Roman" w:hAnsi="asco-regular" w:cs="Arial"/>
          <w:b/>
          <w:sz w:val="24"/>
          <w:szCs w:val="24"/>
          <w:lang w:eastAsia="it-IT"/>
        </w:rPr>
      </w:pP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end"/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begin"/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instrText xml:space="preserve"> HYPERLINK "http://www.autorita.energia.it/allegati/docs/13/191-13all_ti.pdf" \t "_blank" </w:instrText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separate"/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>Allegato A</w:t>
      </w:r>
    </w:p>
    <w:p w:rsidR="00C95683" w:rsidRPr="007B5211" w:rsidRDefault="00C95683" w:rsidP="00C95683">
      <w:pPr>
        <w:spacing w:after="270" w:line="120" w:lineRule="atLeast"/>
        <w:jc w:val="both"/>
        <w:rPr>
          <w:rStyle w:val="Collegamentoipertestuale"/>
          <w:rFonts w:ascii="asco-regular" w:eastAsia="Times New Roman" w:hAnsi="asco-regular" w:cs="Arial"/>
          <w:b/>
          <w:sz w:val="24"/>
          <w:szCs w:val="24"/>
          <w:lang w:eastAsia="it-IT"/>
        </w:rPr>
      </w:pP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end"/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begin"/>
      </w:r>
      <w:r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instrText>HYPERLINK "C:\\Users\\n.scanarotti\\Documents\\NADIA\\metano\\2016-2017\\SITO WEB_aggiornamenti 2017\\ASPETTI NORMATIVI\\assicurazione-clienti-gas.pdf" \t "_blank"</w:instrText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separate"/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>Condizioni di assicur</w:t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>a</w:t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>zione</w:t>
      </w:r>
    </w:p>
    <w:p w:rsidR="00C95683" w:rsidRPr="007B5211" w:rsidRDefault="00C95683" w:rsidP="00C95683">
      <w:pPr>
        <w:spacing w:after="270" w:line="120" w:lineRule="atLeast"/>
        <w:jc w:val="both"/>
        <w:rPr>
          <w:rStyle w:val="Collegamentoipertestuale"/>
          <w:rFonts w:ascii="asco-regular" w:eastAsia="Times New Roman" w:hAnsi="asco-regular" w:cs="Arial"/>
          <w:b/>
          <w:sz w:val="24"/>
          <w:szCs w:val="24"/>
          <w:lang w:eastAsia="it-IT"/>
        </w:rPr>
      </w:pP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end"/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begin"/>
      </w:r>
      <w:r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instrText>HYPERLINK "C:\\Users\\n.scanarotti\\Documents\\NADIA\\metano\\2016-2017\\SITO WEB_aggiornamenti 2017\\ASPETTI NORMATIVI\\Modulo-Denuncia-Sinistro.pdf" \t "_blank"</w:instrText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</w:r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separate"/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 xml:space="preserve">Modulo di denuncia </w:t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>s</w:t>
      </w:r>
      <w:r w:rsidRPr="007B5211">
        <w:rPr>
          <w:rStyle w:val="Collegamentoipertestuale"/>
          <w:rFonts w:ascii="asco-bold" w:eastAsia="Times New Roman" w:hAnsi="asco-bold" w:cs="Arial"/>
          <w:b/>
          <w:sz w:val="24"/>
          <w:szCs w:val="24"/>
          <w:lang w:eastAsia="it-IT"/>
        </w:rPr>
        <w:t>inistri</w:t>
      </w:r>
    </w:p>
    <w:p w:rsidR="00F222B2" w:rsidRDefault="00C95683" w:rsidP="00C95683">
      <w:r w:rsidRPr="007B5211">
        <w:rPr>
          <w:rFonts w:ascii="asco-bold" w:eastAsia="Times New Roman" w:hAnsi="asco-bold" w:cs="Arial"/>
          <w:b/>
          <w:color w:val="0077C1"/>
          <w:sz w:val="24"/>
          <w:szCs w:val="24"/>
          <w:u w:val="single"/>
          <w:lang w:eastAsia="it-IT"/>
        </w:rPr>
        <w:fldChar w:fldCharType="end"/>
      </w:r>
      <w:bookmarkStart w:id="0" w:name="_GoBack"/>
      <w:bookmarkEnd w:id="0"/>
    </w:p>
    <w:sectPr w:rsidR="00F22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sc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sco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A162D"/>
    <w:multiLevelType w:val="multilevel"/>
    <w:tmpl w:val="FF0C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75"/>
    <w:rsid w:val="002452F0"/>
    <w:rsid w:val="00C95683"/>
    <w:rsid w:val="00D8753B"/>
    <w:rsid w:val="00D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F7B5-AE73-4091-BEA5-EB679528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6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568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torita.energia.it/it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Scanarotti</dc:creator>
  <cp:keywords/>
  <dc:description/>
  <cp:lastModifiedBy>Nadia Scanarotti</cp:lastModifiedBy>
  <cp:revision>2</cp:revision>
  <dcterms:created xsi:type="dcterms:W3CDTF">2017-02-23T10:06:00Z</dcterms:created>
  <dcterms:modified xsi:type="dcterms:W3CDTF">2017-02-23T10:06:00Z</dcterms:modified>
</cp:coreProperties>
</file>